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A938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2026年“技能兴淄”经开区行业职业技能竞赛机动车检测工项目技术文件及实施细则</w:t>
      </w:r>
    </w:p>
    <w:p w14:paraId="6500EE9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0" w:name="heading_2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一、技术描述</w:t>
      </w:r>
      <w:bookmarkEnd w:id="0"/>
    </w:p>
    <w:p w14:paraId="06F78C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1" w:name="heading_3"/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（一）项目概要</w:t>
      </w:r>
      <w:bookmarkEnd w:id="1"/>
    </w:p>
    <w:p w14:paraId="53E3223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为深入贯彻落实淄博市 “技能兴淄” 人才战略部署，规范 2026 年 “技能兴淄” 经开区行业职业技能竞赛机动车检测工赛项组织实施，弘扬劳模精神、劳动精神、工匠精神，加快检验检测高技能人才队伍建设。依据赛事举办方案、《机动车检测工国家职业技能标准（2019 年版）》、GB 38900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2020《机动车安全技术检验项目和方法》、GB 7258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2017《机动车运行安全技术条件》、行业操作规程及职业技能考核有关规定，制定本技术文件及实施细则。</w:t>
      </w:r>
    </w:p>
    <w:p w14:paraId="593D98F4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</w:pP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组织机构</w:t>
      </w:r>
    </w:p>
    <w:p w14:paraId="3431904A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主办单位：淄博经济开发区人力资源和社会保障局、淄博经济开发区总工会</w:t>
      </w:r>
    </w:p>
    <w:p w14:paraId="3FF57BAA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承办单位：淄博国兴产业发展集团有限公司</w:t>
      </w:r>
    </w:p>
    <w:p w14:paraId="00CB32F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协办单位：淄博市环发产业集团有限公司、淄博鲁中机动车检测有限公司</w:t>
      </w:r>
    </w:p>
    <w:p w14:paraId="17DBBA3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设立竞赛组委会统筹竞赛全面工作，负责竞赛日常组织、赛程安排、考务管理、资料归档及成绩公布等工作。</w:t>
      </w:r>
    </w:p>
    <w:p w14:paraId="74F6D9FA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竞赛遵循公平、公正、公开、择优原则，以岗位技能比拼为载体，以人才选拔、技能提升、等级晋升为目标，规范竞赛全流程管理。竞赛全程不收取任何参赛费用。</w:t>
      </w:r>
    </w:p>
    <w:p w14:paraId="67EB694D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2" w:name="heading_4"/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参赛对象</w:t>
      </w:r>
      <w:bookmarkEnd w:id="2"/>
    </w:p>
    <w:p w14:paraId="5BFE44C0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面向全市企事业单位从事机动车检测相关工作，年满 22 周岁以上，与所在单位存在正式劳动关系的在职职工；身体健康，无违法违纪及行业违规记录。（已获得市级技术能手及以上人员，不得以选手身份参赛。不受年龄其他限制。）</w:t>
      </w:r>
    </w:p>
    <w:p w14:paraId="03046794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3" w:name="heading_6"/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公正性</w:t>
      </w:r>
      <w:bookmarkEnd w:id="3"/>
    </w:p>
    <w:p w14:paraId="1B0282C3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各参赛单位可推荐 1 名具备专业资质、从业经验丰富、无不良从业记录人员作为备选裁判。</w:t>
      </w:r>
    </w:p>
    <w:p w14:paraId="01C45609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决赛裁判由淄博市机动车检测技术协会专家及备选裁判中选取7人组成。</w:t>
      </w:r>
    </w:p>
    <w:p w14:paraId="27F08DD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严格执行裁判回避制度，参赛单位推荐裁判不得参与本单位参赛选手评分，确保评分公平公正。</w:t>
      </w:r>
    </w:p>
    <w:p w14:paraId="67B0FBF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4" w:name="heading_7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二、竞赛方式与晋级规则</w:t>
      </w:r>
      <w:bookmarkEnd w:id="4"/>
    </w:p>
    <w:p w14:paraId="31F205E1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5" w:name="heading_8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（一）竞赛模块</w:t>
      </w:r>
      <w:bookmarkEnd w:id="5"/>
    </w:p>
    <w:p w14:paraId="0826CE9A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竞赛类别为个人赛，考核分为两个环节：理论知识笔试、机动车检测外检+安检实际操作，各环节均实行百分制评分。</w:t>
      </w:r>
    </w:p>
    <w:p w14:paraId="4F7436EB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6" w:name="heading_9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（二）</w:t>
      </w:r>
      <w:bookmarkEnd w:id="6"/>
      <w:bookmarkStart w:id="7" w:name="heading_10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竞赛时间、地点及入场要求</w:t>
      </w:r>
      <w:bookmarkEnd w:id="7"/>
    </w:p>
    <w:p w14:paraId="396F7931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竞赛时间：2026年9月13日上午8:00‑12:00，参赛选手 7:50 签到。</w:t>
      </w:r>
    </w:p>
    <w:p w14:paraId="395C2D1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理论考试地点：淄博经开区管委会会议中心（复兴路重庆路路口东南角，政务服务大厅二楼）第一会议室。</w:t>
      </w:r>
    </w:p>
    <w:p w14:paraId="03AD630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实操考试地点：淄博鲁中机动车检测有限公司良乡检测站（张店区昌国路 166 号）。</w:t>
      </w:r>
    </w:p>
    <w:p w14:paraId="78F36CE0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交通安排：理论考试结束后统一乘坐大巴前往实操赛场，实操结束统一返程。</w:t>
      </w:r>
    </w:p>
    <w:p w14:paraId="254BA551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入场证件：选手凭本人身份证、驾驶证原件签到入场，自行携带黑色签字笔；迟到 15 分钟以上视为自动弃赛。</w:t>
      </w:r>
    </w:p>
    <w:p w14:paraId="63C4773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8" w:name="heading_11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三、理论知识考试细则</w:t>
      </w:r>
      <w:bookmarkEnd w:id="8"/>
    </w:p>
    <w:p w14:paraId="0AB1EE34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考试形式：闭卷笔试；题型：单选题、多选题、判断题。</w:t>
      </w:r>
    </w:p>
    <w:p w14:paraId="0B21D0FB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范围:机动车检测相关法律法规、行业标准规范、机动车构造基础知识、外观检测、底盘动态、底盘检测、制动、灯光、轮重、滚筒制动、安全技术检测理论、检测设备原理与日常维护、检测结果判定规则、行业职业道德及安全生产规范。</w:t>
      </w:r>
    </w:p>
    <w:p w14:paraId="03E6620E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考场纪律:严禁携带手机、智能穿戴设备、资料等入场；严禁抄袭、交头接耳、替考等违规行为，一经查实，理论成绩记零分，取消本次竞赛参赛资格。</w:t>
      </w:r>
    </w:p>
    <w:p w14:paraId="4124C05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</w:pPr>
      <w:bookmarkStart w:id="9" w:name="heading_12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四、实操考核技术及评分细则</w:t>
      </w:r>
      <w:bookmarkEnd w:id="9"/>
    </w:p>
    <w:p w14:paraId="7D2F2FB5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</w:pPr>
      <w:bookmarkStart w:id="10" w:name="heading_13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（一）实操考核内容</w:t>
      </w:r>
      <w:bookmarkEnd w:id="10"/>
    </w:p>
    <w:p w14:paraId="16F15F0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观检验（机动车安全技术检验人工检验部分）：根据安检外检表实车情况填写并进行检验（包含车辆唯一性检查、车辆特征参数检查、车辆外观检查、安全装置检查、轮胎花纹深度检测及判断、根据车辆实况填写外检表）。</w:t>
      </w:r>
    </w:p>
    <w:p w14:paraId="1C5628F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底盘动态检验：对车辆的转向、传动、制动、仪表和指示器进行检查和操作。</w:t>
      </w:r>
    </w:p>
    <w:p w14:paraId="595E35F9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车辆底盘部件检查：底盘部件检查前的准备工作及转向、传动、行驶、制动系以及其他部件的检查工作或在检查过程中进行口述。</w:t>
      </w:r>
    </w:p>
    <w:p w14:paraId="62C5675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线内仪器设备检验：前照灯检验、滚筒反力式制动检验（含轮重）。</w:t>
      </w:r>
    </w:p>
    <w:p w14:paraId="7B2F981A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11" w:name="heading_14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（二）裁判评判流程</w:t>
      </w:r>
      <w:bookmarkEnd w:id="11"/>
    </w:p>
    <w:p w14:paraId="19B372E6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车辆外观检验：两组外观通道同时考核，每组1名裁判打分。</w:t>
      </w:r>
    </w:p>
    <w:p w14:paraId="278A682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底盘动态检验：外观完成后开展，动态起点、终点各 1 名裁判，终点的裁判进行打分。</w:t>
      </w:r>
    </w:p>
    <w:p w14:paraId="46FE547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底盘检验：1名裁判根据检查项目实操进行现场打分。</w:t>
      </w:r>
    </w:p>
    <w:p w14:paraId="69E6E348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线内前照灯、轮重、滚筒反力式制动检验：1 名裁判按照指定项目实操打分。</w:t>
      </w:r>
    </w:p>
    <w:p w14:paraId="20945048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12" w:name="heading_15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（三）赛场保障</w:t>
      </w:r>
      <w:bookmarkEnd w:id="12"/>
    </w:p>
    <w:p w14:paraId="58FB1F22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统一使用经校准合格的检测设备及统一车况待测车辆；按选手考号顺序上场；实操全程录像存档。</w:t>
      </w:r>
    </w:p>
    <w:p w14:paraId="1275EF43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13" w:name="heading_16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（四）实操百分制评分标准</w:t>
      </w:r>
      <w:bookmarkEnd w:id="13"/>
    </w:p>
    <w:p w14:paraId="3DF6723D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外观检验规范性：50 分</w:t>
      </w:r>
    </w:p>
    <w:p w14:paraId="06F4CD2B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底盘动态检验熟练度：10 分</w:t>
      </w:r>
    </w:p>
    <w:p w14:paraId="48693A72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底盘检验规范性：20 分</w:t>
      </w:r>
    </w:p>
    <w:p w14:paraId="244418A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线内仪器设备检验：20 分</w:t>
      </w:r>
    </w:p>
    <w:p w14:paraId="071D1FB3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left"/>
        <w:outlineLvl w:val="2"/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14" w:name="heading_17"/>
      <w:r>
        <w:rPr>
          <w:rFonts w:hint="eastAsia" w:ascii="Times New Roman" w:hAnsi="Times New Roman" w:eastAsia="楷体" w:cs="Times New Roman"/>
          <w:sz w:val="32"/>
          <w:szCs w:val="32"/>
          <w:highlight w:val="none"/>
          <w:lang w:val="en-US" w:eastAsia="zh-CN"/>
        </w:rPr>
        <w:t>（五）实操赛场纪律</w:t>
      </w:r>
      <w:bookmarkEnd w:id="14"/>
    </w:p>
    <w:p w14:paraId="0FEE4CB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选手不得擅自更改设备参数、人为干预检测结果、接受场外提示协助；违规者立即终止考核，实操成绩按零分处理。</w:t>
      </w:r>
    </w:p>
    <w:p w14:paraId="5C9D332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15" w:name="heading_18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五、成绩计算、排名与公示</w:t>
      </w:r>
      <w:bookmarkEnd w:id="15"/>
    </w:p>
    <w:p w14:paraId="2EDEBA1E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总成绩加权计算：总成绩 = 理论笔试成绩×30% + 实操考核成绩×70%</w:t>
      </w:r>
      <w:bookmarkStart w:id="19" w:name="_GoBack"/>
      <w:bookmarkEnd w:id="19"/>
    </w:p>
    <w:p w14:paraId="7ED06C7E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排名规则：按总成绩由高到低排序；总成绩相同时，实操考核成绩高者优先排名。</w:t>
      </w:r>
    </w:p>
    <w:p w14:paraId="2B261DF6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奖项设置：设置一、二、三等奖，总获奖人数不超过决赛人数50%。</w:t>
      </w:r>
    </w:p>
    <w:p w14:paraId="38D4B28C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成绩备案公示：竞赛结束后组委会完成竞赛总结及佐证资料备案，备案完毕后公布竞赛成绩。</w:t>
      </w:r>
    </w:p>
    <w:p w14:paraId="000C443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16" w:name="heading_19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六、奖励措施与职业技能等级晋升</w:t>
      </w:r>
      <w:bookmarkEnd w:id="16"/>
    </w:p>
    <w:p w14:paraId="23CE9BE9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淄博市技术能手：总成绩第1名选手，经市人社局核准后，授予“淄博市技术能手” 称号并给予一次性奖励；已获得市级及以上技术能手称号人员，不再重复评选。</w:t>
      </w:r>
    </w:p>
    <w:p w14:paraId="423E85F2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职业技能等级晋升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1、决赛前3名选手，可晋升二级/技师职业技能等</w:t>
      </w:r>
    </w:p>
    <w:p w14:paraId="45761329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640" w:hanging="640" w:hanging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级；已具备二级/技师资格的，可晋升一级/高级技师；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2、其他决赛获奖选手，符合申报条件的，可晋升三级 </w:t>
      </w:r>
    </w:p>
    <w:p w14:paraId="3A43E714">
      <w:pPr>
        <w:keepNext w:val="0"/>
        <w:keepLines w:val="0"/>
        <w:pageBreakBefore w:val="0"/>
        <w:wordWrap/>
        <w:topLinePunct w:val="0"/>
        <w:bidi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/高级工职业技能等级。</w:t>
      </w:r>
    </w:p>
    <w:p w14:paraId="0DE0A93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</w:pPr>
      <w:bookmarkStart w:id="17" w:name="heading_20"/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七、赛场纪律与附则</w:t>
      </w:r>
      <w:bookmarkEnd w:id="17"/>
    </w:p>
    <w:p w14:paraId="4D0E664F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实操考生需在候考厅（业务大厅）等待，依次按照叫号顺序进入考试工位，完成所有项目考生在休息室等候，严禁证件造假、替考、违规交流考试项目、扰乱赛场秩序、顶撞裁判及工作人员等行为，违者取消竞赛成绩及获奖资格。</w:t>
      </w:r>
    </w:p>
    <w:p w14:paraId="20DCC09A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本实施细则由2026年“技能兴淄” 机动车检测工竞赛组委会负责解释，未尽事宜由竞赛组委会研究另行通知。</w:t>
      </w:r>
    </w:p>
    <w:p w14:paraId="2D86B2E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八、本技术文件条款的最终解释权归</w:t>
      </w:r>
      <w:r>
        <w:rPr>
          <w:rFonts w:hint="default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淄博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经开区</w:t>
      </w:r>
      <w:r>
        <w:rPr>
          <w:rFonts w:hint="default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人力资源和社会保障局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和</w:t>
      </w:r>
      <w:r>
        <w:rPr>
          <w:rFonts w:hint="default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淄博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经开</w:t>
      </w:r>
      <w:r>
        <w:rPr>
          <w:rFonts w:hint="default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区总工会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所有。</w:t>
      </w:r>
    </w:p>
    <w:p w14:paraId="3650DA58">
      <w:pPr>
        <w:pStyle w:val="2"/>
        <w:rPr>
          <w:rFonts w:hint="eastAsia"/>
          <w:lang w:val="en-US" w:eastAsia="zh-CN"/>
        </w:rPr>
      </w:pPr>
    </w:p>
    <w:p w14:paraId="5B3B85E4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  <w:bookmarkStart w:id="18" w:name="heading_21"/>
    </w:p>
    <w:p w14:paraId="4877E4CA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Arial" w:hAnsi="Arial" w:eastAsia="等线" w:cs="Arial"/>
          <w:b/>
          <w:sz w:val="36"/>
        </w:rPr>
      </w:pPr>
    </w:p>
    <w:p w14:paraId="4E15911A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Arial" w:hAnsi="Arial" w:eastAsia="等线" w:cs="Arial"/>
          <w:b/>
          <w:sz w:val="36"/>
        </w:rPr>
      </w:pPr>
    </w:p>
    <w:p w14:paraId="3A7D03CB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Arial" w:hAnsi="Arial" w:eastAsia="等线" w:cs="Arial"/>
          <w:b/>
          <w:sz w:val="36"/>
        </w:rPr>
      </w:pPr>
    </w:p>
    <w:p w14:paraId="70C430FD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Arial" w:hAnsi="Arial" w:eastAsia="等线" w:cs="Arial"/>
          <w:b/>
          <w:sz w:val="36"/>
        </w:rPr>
      </w:pPr>
    </w:p>
    <w:p w14:paraId="570A6094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</w:pPr>
    </w:p>
    <w:bookmarkEnd w:id="18"/>
    <w:p w14:paraId="658ABA0D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CCD803A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5C499AD9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FF46060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B5A6D37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A4D7DA2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611CE4D8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4AA535F7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/>
          <w:lang w:eastAsia="zh-CN"/>
        </w:rPr>
      </w:pPr>
    </w:p>
    <w:p w14:paraId="782589B8">
      <w:pPr>
        <w:pStyle w:val="2"/>
        <w:rPr>
          <w:rFonts w:hint="eastAsia"/>
          <w:lang w:eastAsia="zh-CN"/>
        </w:rPr>
      </w:pPr>
    </w:p>
    <w:p w14:paraId="71D6C124">
      <w:pPr>
        <w:rPr>
          <w:rFonts w:hint="eastAsia"/>
          <w:lang w:eastAsia="zh-CN"/>
        </w:rPr>
      </w:pPr>
    </w:p>
    <w:p w14:paraId="6FC83A86">
      <w:pPr>
        <w:pStyle w:val="2"/>
        <w:rPr>
          <w:rFonts w:hint="eastAsia"/>
          <w:lang w:eastAsia="zh-CN"/>
        </w:rPr>
      </w:pPr>
    </w:p>
    <w:p w14:paraId="5A20FF52">
      <w:pPr>
        <w:rPr>
          <w:rFonts w:hint="eastAsia"/>
          <w:lang w:eastAsia="zh-CN"/>
        </w:rPr>
      </w:pPr>
    </w:p>
    <w:p w14:paraId="0449F800">
      <w:pPr>
        <w:pStyle w:val="2"/>
        <w:rPr>
          <w:rFonts w:hint="eastAsia"/>
          <w:lang w:eastAsia="zh-CN"/>
        </w:rPr>
      </w:pPr>
    </w:p>
    <w:p w14:paraId="03690E19">
      <w:pPr>
        <w:rPr>
          <w:rFonts w:hint="eastAsia"/>
          <w:lang w:eastAsia="zh-CN"/>
        </w:rPr>
      </w:pPr>
    </w:p>
    <w:p w14:paraId="22E52E00">
      <w:pPr>
        <w:pStyle w:val="2"/>
        <w:rPr>
          <w:rFonts w:hint="eastAsia"/>
          <w:lang w:eastAsia="zh-CN"/>
        </w:rPr>
      </w:pPr>
    </w:p>
    <w:p w14:paraId="66173A16">
      <w:pPr>
        <w:rPr>
          <w:rFonts w:hint="eastAsia"/>
          <w:lang w:eastAsia="zh-CN"/>
        </w:rPr>
      </w:pPr>
    </w:p>
    <w:p w14:paraId="236EA089">
      <w:pPr>
        <w:pStyle w:val="2"/>
        <w:rPr>
          <w:rFonts w:hint="eastAsia"/>
          <w:lang w:eastAsia="zh-CN"/>
        </w:rPr>
      </w:pPr>
    </w:p>
    <w:p w14:paraId="6F47025D">
      <w:pPr>
        <w:rPr>
          <w:rFonts w:hint="eastAsia"/>
          <w:lang w:eastAsia="zh-CN"/>
        </w:rPr>
      </w:pPr>
    </w:p>
    <w:p w14:paraId="5A9CD720">
      <w:pPr>
        <w:pStyle w:val="2"/>
        <w:rPr>
          <w:rFonts w:hint="eastAsia"/>
          <w:lang w:eastAsia="zh-CN"/>
        </w:rPr>
      </w:pPr>
    </w:p>
    <w:p w14:paraId="2A78A44C">
      <w:pPr>
        <w:rPr>
          <w:rFonts w:hint="eastAsia"/>
          <w:lang w:eastAsia="zh-CN"/>
        </w:rPr>
      </w:pPr>
    </w:p>
    <w:p w14:paraId="30586B65">
      <w:pPr>
        <w:pStyle w:val="2"/>
        <w:rPr>
          <w:rFonts w:hint="eastAsia"/>
          <w:lang w:eastAsia="zh-CN"/>
        </w:rPr>
      </w:pPr>
    </w:p>
    <w:p w14:paraId="0F3C81F0">
      <w:pPr>
        <w:rPr>
          <w:rFonts w:hint="eastAsia"/>
          <w:lang w:eastAsia="zh-CN"/>
        </w:rPr>
      </w:pPr>
    </w:p>
    <w:p w14:paraId="69E12C34">
      <w:pPr>
        <w:pStyle w:val="2"/>
        <w:rPr>
          <w:rFonts w:hint="eastAsia"/>
          <w:lang w:eastAsia="zh-CN"/>
        </w:rPr>
      </w:pPr>
    </w:p>
    <w:p w14:paraId="4C344081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47AB0C1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/>
        <w:jc w:val="center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竞赛总成绩汇总表</w:t>
      </w:r>
    </w:p>
    <w:tbl>
      <w:tblPr>
        <w:tblStyle w:val="3"/>
        <w:tblW w:w="9956" w:type="dxa"/>
        <w:tblInd w:w="-518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9"/>
        <w:gridCol w:w="975"/>
        <w:gridCol w:w="975"/>
        <w:gridCol w:w="3281"/>
        <w:gridCol w:w="987"/>
        <w:gridCol w:w="987"/>
        <w:gridCol w:w="988"/>
        <w:gridCol w:w="844"/>
      </w:tblGrid>
      <w:tr w14:paraId="193BB88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095F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901C0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考号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1BE6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58C5E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FA98A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理论成绩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AE355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实操成绩</w:t>
            </w: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813F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总成绩</w:t>
            </w: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91370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备注</w:t>
            </w:r>
          </w:p>
        </w:tc>
      </w:tr>
      <w:tr w14:paraId="29113D1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B15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EF4AB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6504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B0924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838DC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6BCF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1C48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ABAFE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71C2E7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F906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96436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0070C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0210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E931E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E083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DBE2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B40D1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2D5FF4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9F3F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965C0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67CD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97A42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C21C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C2B0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FAEA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CC672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62DD8D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C41D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03D4B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C7295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09024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C77B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D69F3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3B9F6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F36D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4ED172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2A03D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1D3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4FC81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39E64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DA0D7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57DF1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3DD23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8A106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7F162C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92105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712FE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9B2EC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D01AC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973E6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A62F4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E5E7A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FD30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3842B3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C875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A46AB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D5F6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1C437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241C3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6D11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05DD6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132E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E0BB59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D863A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C1976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0DEE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0224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6834E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645F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4E6CC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263B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3EAD23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1994A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5A0B6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6F690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916BF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D88AF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36FD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F4EC6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0F86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53E22A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4892E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4C85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E297C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31EAF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19EAF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00AB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AEB1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0504F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36F447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8364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F078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F37A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CE9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4D04A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6E5C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F93E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4AA4B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2D1A12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EADD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3E1BC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93B9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6BAD0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6F41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6F42F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28C2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2E774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7E53B94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统计人：        审核人：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复核人：</w:t>
      </w:r>
    </w:p>
    <w:p w14:paraId="0CCB0749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5C6164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eastAsia"/>
          <w:lang w:eastAsia="zh-CN"/>
        </w:rPr>
      </w:pPr>
    </w:p>
    <w:p w14:paraId="3FAF96BB">
      <w:pPr>
        <w:pStyle w:val="2"/>
        <w:rPr>
          <w:rFonts w:hint="eastAsia"/>
          <w:lang w:eastAsia="zh-CN"/>
        </w:rPr>
      </w:pPr>
    </w:p>
    <w:p w14:paraId="3EDA9BBB">
      <w:pPr>
        <w:rPr>
          <w:rFonts w:hint="eastAsia"/>
          <w:lang w:eastAsia="zh-CN"/>
        </w:rPr>
      </w:pPr>
    </w:p>
    <w:p w14:paraId="0B75E981">
      <w:pPr>
        <w:pStyle w:val="2"/>
        <w:rPr>
          <w:rFonts w:hint="eastAsia"/>
          <w:lang w:eastAsia="zh-CN"/>
        </w:rPr>
      </w:pPr>
    </w:p>
    <w:p w14:paraId="42C780A2">
      <w:pPr>
        <w:rPr>
          <w:rFonts w:hint="eastAsia"/>
          <w:lang w:eastAsia="zh-CN"/>
        </w:rPr>
      </w:pPr>
    </w:p>
    <w:p w14:paraId="64171D38">
      <w:pPr>
        <w:pStyle w:val="2"/>
        <w:rPr>
          <w:rFonts w:hint="eastAsia"/>
          <w:lang w:eastAsia="zh-CN"/>
        </w:rPr>
      </w:pPr>
    </w:p>
    <w:p w14:paraId="75D7734F">
      <w:pPr>
        <w:rPr>
          <w:rFonts w:hint="eastAsia"/>
          <w:lang w:eastAsia="zh-CN"/>
        </w:rPr>
      </w:pPr>
    </w:p>
    <w:p w14:paraId="05EE2D43">
      <w:pPr>
        <w:pStyle w:val="2"/>
        <w:keepNext w:val="0"/>
        <w:keepLines w:val="0"/>
        <w:pageBreakBefore w:val="0"/>
        <w:wordWrap/>
        <w:topLinePunct w:val="0"/>
        <w:bidi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EABCB8D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/>
        <w:jc w:val="center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竞赛总成绩排名表</w:t>
      </w:r>
    </w:p>
    <w:tbl>
      <w:tblPr>
        <w:tblStyle w:val="3"/>
        <w:tblW w:w="9956" w:type="dxa"/>
        <w:tblInd w:w="-518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19"/>
        <w:gridCol w:w="975"/>
        <w:gridCol w:w="975"/>
        <w:gridCol w:w="3281"/>
        <w:gridCol w:w="987"/>
        <w:gridCol w:w="987"/>
        <w:gridCol w:w="988"/>
        <w:gridCol w:w="844"/>
      </w:tblGrid>
      <w:tr w14:paraId="0228788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D590D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排名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06B76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考号</w:t>
            </w: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378D1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6E01B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34F53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理论成绩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86350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实操成绩</w:t>
            </w: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B45C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总成绩</w:t>
            </w: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A363E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690FBB3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0D466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DA20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0067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7888B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1A21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08DE0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86A8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FEDF5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2A3BD5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60B63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82475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C510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6F337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0EADA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229C6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2853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42E9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82ABF7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622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39882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98CD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4E8D7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4A9F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1C9F5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8000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8223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F76964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A1181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7F7B9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4F71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7FA7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2E607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D5212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61BF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9F33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C1CB1B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5B23C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A6CD3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A3CA4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E3C8E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2022E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E404D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23A8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6FE74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C198DD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7FD4B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E6B4E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3CBB5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E294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DFE04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8E7F0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60EE0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44360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B9217C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D240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5E6DA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61C3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98330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DE417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A85EB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71A38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14DD8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6DAA9C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B27B8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A1F8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8EF17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E6944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7246E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A869D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2F9E1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7954B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2A2114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354BA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15AB2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DAB2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756D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E42AC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74C94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E1B6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5C4C0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E542A4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7BD8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CCE9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93EC8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8FEC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793F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ECD3B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8FA28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8DD07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0E0DAB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9F4B2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AC38E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F8D6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E4706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3E267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A3B1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5F49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14E9F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558834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9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C7F55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91CAB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4EEF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8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DB1C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25DD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26DD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8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106C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4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AF8C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200FE77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/>
        <w:jc w:val="left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统计人：        审核人：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复核人：</w:t>
      </w:r>
    </w:p>
    <w:p w14:paraId="4CB323A6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D08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43D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217FE"/>
    <w:rsid w:val="1A986516"/>
    <w:rsid w:val="2EF51616"/>
    <w:rsid w:val="332B61D8"/>
    <w:rsid w:val="338255A9"/>
    <w:rsid w:val="3D0A2E41"/>
    <w:rsid w:val="4898328A"/>
    <w:rsid w:val="498010F3"/>
    <w:rsid w:val="4B6E1FC0"/>
    <w:rsid w:val="57805D82"/>
    <w:rsid w:val="6ACF34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next w:val="1"/>
    <w:qFormat/>
    <w:uiPriority w:val="0"/>
    <w:pPr>
      <w:widowControl w:val="0"/>
      <w:jc w:val="center"/>
    </w:pPr>
    <w:rPr>
      <w:rFonts w:ascii="仿宋_GB2312" w:hAnsi="Calibri" w:eastAsiaTheme="minorEastAsia" w:cstheme="minorBidi"/>
      <w:kern w:val="2"/>
      <w:sz w:val="21"/>
      <w:szCs w:val="3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其他"/>
    <w:basedOn w:val="1"/>
    <w:qFormat/>
    <w:uiPriority w:val="0"/>
    <w:pPr>
      <w:widowControl w:val="0"/>
      <w:shd w:val="clear" w:color="auto" w:fill="FFFFFF"/>
      <w:spacing w:line="310" w:lineRule="auto"/>
      <w:ind w:firstLine="400"/>
    </w:pPr>
    <w:rPr>
      <w:rFonts w:ascii="Times New Roman" w:hAnsi="Times New Roman" w:eastAsia="Times New Roman" w:cs="Times New Roman"/>
      <w:sz w:val="22"/>
      <w:szCs w:val="22"/>
      <w:u w:val="none"/>
      <w:lang w:val="zh-CN" w:eastAsia="zh-CN" w:bidi="zh-CN"/>
    </w:rPr>
  </w:style>
  <w:style w:type="paragraph" w:customStyle="1" w:styleId="7">
    <w:name w:val="公文"/>
    <w:basedOn w:val="1"/>
    <w:qFormat/>
    <w:uiPriority w:val="0"/>
    <w:pPr>
      <w:spacing w:line="560" w:lineRule="exact"/>
      <w:ind w:firstLine="616" w:firstLineChars="200"/>
    </w:pPr>
    <w:rPr>
      <w:rFonts w:hint="eastAsia" w:ascii="Times New Roman" w:hAnsi="Times New Roman" w:eastAsia="仿宋_GB2312" w:cs="Times New Roman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786</Words>
  <Characters>829</Characters>
  <TotalTime>0</TotalTime>
  <ScaleCrop>false</ScaleCrop>
  <LinksUpToDate>false</LinksUpToDate>
  <CharactersWithSpaces>844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2026-09-05T23:47:00Z</dcterms:created>
  <dc:creator>Apache POI</dc:creator>
  <cp:lastModifiedBy>轻尘</cp:lastModifiedBy>
  <cp:lastPrinted>2026-09-07T01:09:00Z</cp:lastPrinted>
  <dcterms:modified xsi:type="dcterms:W3CDTF">2026-09-08T02:38:13Z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{"Label":"1","ContentProducer":"001191110102MACQD9K64010000","ProduceID":"7682201583472348092","ReservedCode1":"","ContentPropagator":"","PropagateID":"","ReservedCode2":""}</vt:lpwstr>
  </property>
  <property fmtid="{D5CDD505-2E9C-101B-9397-08002B2CF9AE}" pid="3" name="KSOTemplateDocerSaveRecord">
    <vt:lpwstr>eyJoZGlkIjoiZDQxY2Q4MDYyYzBhODFhNjM1MDU2YzkzNTk1YjA3NzMiLCJ1c2VySWQiOiI0NTg5NjExODYifQ==</vt:lpwstr>
  </property>
  <property fmtid="{D5CDD505-2E9C-101B-9397-08002B2CF9AE}" pid="4" name="KSOProductBuildVer">
    <vt:lpwstr>2052-12.1.0.28505</vt:lpwstr>
  </property>
  <property fmtid="{D5CDD505-2E9C-101B-9397-08002B2CF9AE}" pid="5" name="ICV">
    <vt:lpwstr>E03F771C7F1443DF8FEDD2C7D2D37985_13</vt:lpwstr>
  </property>
</Properties>
</file>